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3" w:rsidRDefault="003F1883" w:rsidP="003F1883">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396</w:t>
      </w:r>
      <w:r>
        <w:rPr>
          <w:rFonts w:hint="eastAsia"/>
          <w:u w:val="single"/>
        </w:rPr>
        <w:t xml:space="preserve">　</w:t>
      </w:r>
      <w:r>
        <w:rPr>
          <w:rFonts w:hint="eastAsia"/>
          <w:u w:val="single"/>
        </w:rPr>
        <w:t xml:space="preserve"> </w:t>
      </w:r>
    </w:p>
    <w:p w:rsidR="003F1883" w:rsidRDefault="003F1883" w:rsidP="003F1883">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3F1883" w:rsidTr="00610CEE">
        <w:trPr>
          <w:trHeight w:val="855"/>
        </w:trPr>
        <w:tc>
          <w:tcPr>
            <w:tcW w:w="1386" w:type="dxa"/>
            <w:gridSpan w:val="2"/>
            <w:tcBorders>
              <w:bottom w:val="single" w:sz="4" w:space="0" w:color="auto"/>
            </w:tcBorders>
            <w:shd w:val="clear" w:color="auto" w:fill="E0E0E0"/>
            <w:vAlign w:val="center"/>
          </w:tcPr>
          <w:p w:rsidR="003F1883" w:rsidRDefault="003F1883" w:rsidP="003F1883">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3F1883" w:rsidRDefault="003F1883" w:rsidP="003F1883">
            <w:pPr>
              <w:pStyle w:val="a3"/>
              <w:keepNext/>
              <w:tabs>
                <w:tab w:val="clear" w:pos="4252"/>
                <w:tab w:val="clear" w:pos="8504"/>
              </w:tabs>
              <w:autoSpaceDE w:val="0"/>
              <w:autoSpaceDN w:val="0"/>
              <w:snapToGrid/>
              <w:rPr>
                <w:rFonts w:hAnsi="ＭＳ 明朝"/>
                <w:noProof/>
              </w:rPr>
            </w:pPr>
            <w:r w:rsidRPr="00480DBD">
              <w:rPr>
                <w:rFonts w:hAnsi="ＭＳ 明朝" w:hint="eastAsia"/>
                <w:noProof/>
              </w:rPr>
              <w:t>介護予防福祉用具購入費の支給</w:t>
            </w:r>
          </w:p>
        </w:tc>
      </w:tr>
      <w:tr w:rsidR="003F1883" w:rsidTr="00610CEE">
        <w:trPr>
          <w:trHeight w:val="855"/>
        </w:trPr>
        <w:tc>
          <w:tcPr>
            <w:tcW w:w="1386" w:type="dxa"/>
            <w:gridSpan w:val="2"/>
            <w:tcBorders>
              <w:bottom w:val="single" w:sz="4" w:space="0" w:color="auto"/>
            </w:tcBorders>
            <w:shd w:val="clear" w:color="auto" w:fill="E0E0E0"/>
            <w:vAlign w:val="center"/>
          </w:tcPr>
          <w:p w:rsidR="003F1883" w:rsidRDefault="003F188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3F1883" w:rsidRDefault="003F188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3F1883" w:rsidRDefault="003F1883"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56</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3F1883" w:rsidTr="00610CEE">
        <w:trPr>
          <w:trHeight w:val="555"/>
        </w:trPr>
        <w:tc>
          <w:tcPr>
            <w:tcW w:w="1386" w:type="dxa"/>
            <w:gridSpan w:val="2"/>
            <w:shd w:val="clear" w:color="auto" w:fill="E0E0E0"/>
            <w:vAlign w:val="center"/>
          </w:tcPr>
          <w:p w:rsidR="003F1883" w:rsidRDefault="003F1883"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3F1883" w:rsidRDefault="003F1883"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3F1883" w:rsidTr="00610CEE">
        <w:trPr>
          <w:trHeight w:val="8423"/>
        </w:trPr>
        <w:tc>
          <w:tcPr>
            <w:tcW w:w="9815" w:type="dxa"/>
            <w:gridSpan w:val="7"/>
            <w:tcBorders>
              <w:bottom w:val="nil"/>
            </w:tcBorders>
          </w:tcPr>
          <w:p w:rsidR="003F1883" w:rsidRDefault="003F1883"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56</w:t>
            </w:r>
            <w:r w:rsidRPr="00480DBD">
              <w:rPr>
                <w:rFonts w:hAnsi="ＭＳ 明朝" w:hint="eastAsia"/>
                <w:noProof/>
              </w:rPr>
              <w:t>条第</w:t>
            </w:r>
            <w:r>
              <w:rPr>
                <w:rFonts w:hAnsi="ＭＳ 明朝" w:hint="eastAsia"/>
                <w:noProof/>
              </w:rPr>
              <w:t>2</w:t>
            </w:r>
            <w:r w:rsidRPr="00480DBD">
              <w:rPr>
                <w:rFonts w:hAnsi="ＭＳ 明朝" w:hint="eastAsia"/>
                <w:noProof/>
              </w:rPr>
              <w:t>項及び省令第</w:t>
            </w:r>
            <w:r>
              <w:rPr>
                <w:rFonts w:hAnsi="ＭＳ 明朝" w:hint="eastAsia"/>
                <w:noProof/>
              </w:rPr>
              <w:t>89</w:t>
            </w:r>
            <w:r w:rsidRPr="00480DBD">
              <w:rPr>
                <w:rFonts w:hAnsi="ＭＳ 明朝" w:hint="eastAsia"/>
                <w:noProof/>
              </w:rPr>
              <w:t>条の規定による。</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介護予防福祉用具購入費の支給</w:t>
            </w:r>
            <w:r>
              <w:rPr>
                <w:rFonts w:hAnsi="ＭＳ 明朝" w:hint="eastAsia"/>
                <w:noProof/>
              </w:rPr>
              <w:t>)</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56</w:t>
            </w:r>
            <w:r w:rsidRPr="00480DBD">
              <w:rPr>
                <w:rFonts w:hAnsi="ＭＳ 明朝" w:hint="eastAsia"/>
                <w:noProof/>
              </w:rPr>
              <w:t>条　市町村は、居宅要支援被保険者が、特定介護予防福祉用具販売に係る指定介護予防サービス事業者から当該指定に係る介護予防サービス事業を行う事業所において販売される特定介護予防福祉用具を購入したときは、当該居宅要支援被保険者に対し、介護予防福祉用具購入費を支給する。</w:t>
            </w:r>
          </w:p>
          <w:p w:rsidR="003F1883" w:rsidRPr="00480DBD" w:rsidRDefault="003F1883"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w:t>
            </w:r>
            <w:r w:rsidRPr="00480DBD">
              <w:rPr>
                <w:rFonts w:hAnsi="ＭＳ 明朝" w:hint="eastAsia"/>
                <w:noProof/>
              </w:rPr>
              <w:t>介護予防福祉用具購入費は、厚生労働省令で定めるところにより、市町村が必要と認める場合に限り、支給するものとする。</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以下　略</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 xml:space="preserve">　</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 xml:space="preserve">　介護保険法施行規則</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介護予防福祉用具購入費の支給が必要と認める場合</w:t>
            </w:r>
            <w:r>
              <w:rPr>
                <w:rFonts w:hAnsi="ＭＳ 明朝" w:hint="eastAsia"/>
                <w:noProof/>
              </w:rPr>
              <w:t>)</w:t>
            </w:r>
          </w:p>
          <w:p w:rsidR="003F1883" w:rsidRPr="00480DBD" w:rsidRDefault="003F1883"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89</w:t>
            </w:r>
            <w:r w:rsidRPr="00480DBD">
              <w:rPr>
                <w:rFonts w:hAnsi="ＭＳ 明朝" w:hint="eastAsia"/>
                <w:noProof/>
              </w:rPr>
              <w:t>条　介護予防福祉用具購入費は、当該居宅要支援被保険者の日常生活の自立を助けるために必要と認められる場合に限り支給するものとする。</w:t>
            </w:r>
          </w:p>
          <w:p w:rsidR="003F1883" w:rsidRDefault="003F1883" w:rsidP="00610CEE">
            <w:pPr>
              <w:autoSpaceDE w:val="0"/>
              <w:autoSpaceDN w:val="0"/>
              <w:ind w:left="220" w:hangingChars="100" w:hanging="220"/>
              <w:rPr>
                <w:rFonts w:hAnsi="ＭＳ 明朝"/>
              </w:rPr>
            </w:pPr>
            <w:r>
              <w:rPr>
                <w:rFonts w:hAnsi="ＭＳ 明朝" w:hint="eastAsia"/>
                <w:noProof/>
              </w:rPr>
              <w:t>2</w:t>
            </w:r>
            <w:r w:rsidRPr="00480DBD">
              <w:rPr>
                <w:rFonts w:hAnsi="ＭＳ 明朝" w:hint="eastAsia"/>
                <w:noProof/>
              </w:rPr>
              <w:t xml:space="preserve">　介護予防福祉用具購入費は、当該購入を行った日の属する第</w:t>
            </w:r>
            <w:r>
              <w:rPr>
                <w:rFonts w:hAnsi="ＭＳ 明朝" w:hint="eastAsia"/>
                <w:noProof/>
              </w:rPr>
              <w:t>91</w:t>
            </w:r>
            <w:r w:rsidRPr="00480DBD">
              <w:rPr>
                <w:rFonts w:hAnsi="ＭＳ 明朝" w:hint="eastAsia"/>
                <w:noProof/>
              </w:rPr>
              <w:t>条に規定する介護予防福祉用具購入費支給限度額管理期間において当該居宅要支援被保険者が当該購入した特定介護予防福祉用具と同一の種目の特定福祉用具又は特定介護予防福祉用具</w:t>
            </w:r>
            <w:r>
              <w:rPr>
                <w:rFonts w:hAnsi="ＭＳ 明朝" w:hint="eastAsia"/>
                <w:noProof/>
              </w:rPr>
              <w:t>(</w:t>
            </w:r>
            <w:r w:rsidRPr="00480DBD">
              <w:rPr>
                <w:rFonts w:hAnsi="ＭＳ 明朝" w:hint="eastAsia"/>
                <w:noProof/>
              </w:rPr>
              <w:t>当該購入した特定介護予防福祉用具と用途及び機能が著しく異なるものを除く。</w:t>
            </w:r>
            <w:r>
              <w:rPr>
                <w:rFonts w:hAnsi="ＭＳ 明朝" w:hint="eastAsia"/>
                <w:noProof/>
              </w:rPr>
              <w:t>)</w:t>
            </w:r>
            <w:r w:rsidRPr="00480DBD">
              <w:rPr>
                <w:rFonts w:hAnsi="ＭＳ 明朝" w:hint="eastAsia"/>
                <w:noProof/>
              </w:rPr>
              <w:t>を既に購入しており、かつ、その購入について居宅介護福祉用具購入費又は介護予防福祉用具購入費を支給している場合については、支給しないものとする。ただし、当該既に購入した特定福祉用具又は特定介護予防福祉用具が破損した場合その他特別の事情がある場合であって、市町村が当該申請に係る介護予防福祉用具購入費の支給が必要と認めるときは、この限りでない。</w:t>
            </w:r>
          </w:p>
          <w:p w:rsidR="003F1883" w:rsidRPr="007269CE" w:rsidRDefault="003F1883" w:rsidP="00610CEE">
            <w:pPr>
              <w:autoSpaceDE w:val="0"/>
              <w:autoSpaceDN w:val="0"/>
              <w:ind w:left="220" w:hangingChars="100" w:hanging="220"/>
              <w:rPr>
                <w:rFonts w:hAnsi="ＭＳ 明朝"/>
              </w:rPr>
            </w:pPr>
          </w:p>
        </w:tc>
      </w:tr>
      <w:tr w:rsidR="003F1883" w:rsidTr="00610CEE">
        <w:trPr>
          <w:trHeight w:val="555"/>
        </w:trPr>
        <w:tc>
          <w:tcPr>
            <w:tcW w:w="1554" w:type="dxa"/>
            <w:gridSpan w:val="3"/>
            <w:shd w:val="clear" w:color="auto" w:fill="E0E0E0"/>
            <w:vAlign w:val="center"/>
          </w:tcPr>
          <w:p w:rsidR="003F1883" w:rsidRDefault="003F1883"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3F1883" w:rsidRDefault="003F1883"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3F1883" w:rsidTr="00610CEE">
        <w:trPr>
          <w:trHeight w:val="85"/>
        </w:trPr>
        <w:tc>
          <w:tcPr>
            <w:tcW w:w="658" w:type="dxa"/>
            <w:vAlign w:val="center"/>
          </w:tcPr>
          <w:p w:rsidR="003F1883" w:rsidRDefault="003F1883"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3F1883" w:rsidRDefault="003F1883" w:rsidP="00610CEE">
            <w:pPr>
              <w:autoSpaceDE w:val="0"/>
              <w:autoSpaceDN w:val="0"/>
              <w:rPr>
                <w:rFonts w:hAnsi="ＭＳ 明朝"/>
              </w:rPr>
            </w:pPr>
          </w:p>
        </w:tc>
      </w:tr>
      <w:tr w:rsidR="003F1883" w:rsidTr="00610CEE">
        <w:trPr>
          <w:trHeight w:val="1153"/>
        </w:trPr>
        <w:tc>
          <w:tcPr>
            <w:tcW w:w="9815" w:type="dxa"/>
            <w:gridSpan w:val="7"/>
            <w:tcBorders>
              <w:top w:val="nil"/>
              <w:bottom w:val="nil"/>
            </w:tcBorders>
          </w:tcPr>
          <w:p w:rsidR="003F1883" w:rsidRDefault="003F1883" w:rsidP="00610CEE">
            <w:pPr>
              <w:pStyle w:val="a3"/>
              <w:tabs>
                <w:tab w:val="clear" w:pos="4252"/>
                <w:tab w:val="clear" w:pos="8504"/>
              </w:tabs>
              <w:autoSpaceDE w:val="0"/>
              <w:autoSpaceDN w:val="0"/>
              <w:snapToGrid/>
              <w:rPr>
                <w:rFonts w:hAnsi="ＭＳ 明朝"/>
              </w:rPr>
            </w:pPr>
          </w:p>
          <w:p w:rsidR="003F1883" w:rsidRDefault="003F1883" w:rsidP="00610CEE">
            <w:pPr>
              <w:pStyle w:val="a3"/>
              <w:tabs>
                <w:tab w:val="clear" w:pos="4252"/>
                <w:tab w:val="clear" w:pos="8504"/>
              </w:tabs>
              <w:autoSpaceDE w:val="0"/>
              <w:autoSpaceDN w:val="0"/>
              <w:snapToGrid/>
              <w:rPr>
                <w:rFonts w:hAnsi="ＭＳ 明朝"/>
              </w:rPr>
            </w:pPr>
          </w:p>
        </w:tc>
      </w:tr>
      <w:tr w:rsidR="003F1883" w:rsidTr="00610CEE">
        <w:trPr>
          <w:trHeight w:val="402"/>
        </w:trPr>
        <w:tc>
          <w:tcPr>
            <w:tcW w:w="1650" w:type="dxa"/>
            <w:gridSpan w:val="4"/>
            <w:shd w:val="clear" w:color="auto" w:fill="E0E0E0"/>
            <w:vAlign w:val="center"/>
          </w:tcPr>
          <w:p w:rsidR="003F1883" w:rsidRDefault="003F1883" w:rsidP="00610CEE">
            <w:pPr>
              <w:autoSpaceDE w:val="0"/>
              <w:autoSpaceDN w:val="0"/>
              <w:rPr>
                <w:rFonts w:ascii="ＭＳ ゴシック" w:eastAsia="ＭＳ ゴシック" w:hAnsi="ＭＳ 明朝"/>
                <w:b/>
              </w:rPr>
            </w:pPr>
            <w:r w:rsidRPr="003F1883">
              <w:rPr>
                <w:rFonts w:ascii="ＭＳ ゴシック" w:eastAsia="ＭＳ ゴシック" w:hAnsi="ＭＳ 明朝" w:hint="eastAsia"/>
                <w:b/>
                <w:spacing w:val="30"/>
                <w:kern w:val="0"/>
                <w:fitText w:val="1430" w:id="1136907789"/>
              </w:rPr>
              <w:t>設定年月日</w:t>
            </w:r>
          </w:p>
        </w:tc>
        <w:tc>
          <w:tcPr>
            <w:tcW w:w="3200" w:type="dxa"/>
            <w:vAlign w:val="center"/>
          </w:tcPr>
          <w:p w:rsidR="003F1883" w:rsidRDefault="003F1883"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3F1883" w:rsidRDefault="003F1883" w:rsidP="00610CEE">
            <w:pPr>
              <w:autoSpaceDE w:val="0"/>
              <w:autoSpaceDN w:val="0"/>
              <w:rPr>
                <w:rFonts w:ascii="ＭＳ ゴシック" w:eastAsia="ＭＳ ゴシック" w:hAnsi="ＭＳ 明朝"/>
                <w:b/>
              </w:rPr>
            </w:pPr>
            <w:r w:rsidRPr="003F1883">
              <w:rPr>
                <w:rFonts w:ascii="ＭＳ ゴシック" w:eastAsia="ＭＳ ゴシック" w:hAnsi="ＭＳ 明朝" w:hint="eastAsia"/>
                <w:b/>
                <w:w w:val="90"/>
                <w:kern w:val="0"/>
                <w:fitText w:val="1430" w:id="1136907790"/>
              </w:rPr>
              <w:t>最終変更年月</w:t>
            </w:r>
            <w:r w:rsidRPr="003F1883">
              <w:rPr>
                <w:rFonts w:ascii="ＭＳ ゴシック" w:eastAsia="ＭＳ ゴシック" w:hAnsi="ＭＳ 明朝" w:hint="eastAsia"/>
                <w:b/>
                <w:spacing w:val="-75"/>
                <w:w w:val="90"/>
                <w:kern w:val="0"/>
                <w:fitText w:val="1430" w:id="1136907790"/>
              </w:rPr>
              <w:t>日</w:t>
            </w:r>
          </w:p>
        </w:tc>
        <w:tc>
          <w:tcPr>
            <w:tcW w:w="3325" w:type="dxa"/>
            <w:vAlign w:val="center"/>
          </w:tcPr>
          <w:p w:rsidR="003F1883" w:rsidRDefault="003F1883" w:rsidP="00610CEE">
            <w:pPr>
              <w:jc w:val="center"/>
            </w:pPr>
            <w:r>
              <w:rPr>
                <w:rFonts w:hint="eastAsia"/>
                <w:noProof/>
              </w:rPr>
              <w:t xml:space="preserve">　年　　月　　日</w:t>
            </w:r>
          </w:p>
        </w:tc>
      </w:tr>
    </w:tbl>
    <w:p w:rsidR="00394A6B" w:rsidRDefault="003F1883" w:rsidP="003F1883"/>
    <w:sectPr w:rsidR="00394A6B" w:rsidSect="003F1883">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3F1883">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3F1883"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883"/>
    <w:rsid w:val="001E56B6"/>
    <w:rsid w:val="00282CA6"/>
    <w:rsid w:val="00315EC1"/>
    <w:rsid w:val="003970D6"/>
    <w:rsid w:val="003C0625"/>
    <w:rsid w:val="003F1883"/>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3F1883"/>
    <w:pPr>
      <w:keepNext/>
      <w:outlineLvl w:val="0"/>
    </w:pPr>
    <w:rPr>
      <w:rFonts w:ascii="Arial" w:eastAsia="ＭＳ ゴシック" w:hAnsi="Arial" w:cs="Times New Roman"/>
      <w:sz w:val="24"/>
      <w:szCs w:val="24"/>
    </w:rPr>
  </w:style>
  <w:style w:type="paragraph" w:styleId="2">
    <w:name w:val="heading 2"/>
    <w:basedOn w:val="a"/>
    <w:next w:val="a"/>
    <w:link w:val="20"/>
    <w:qFormat/>
    <w:rsid w:val="003F1883"/>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1883"/>
    <w:rPr>
      <w:rFonts w:ascii="Arial" w:eastAsia="ＭＳ ゴシック" w:hAnsi="Arial" w:cs="Times New Roman"/>
      <w:sz w:val="24"/>
      <w:szCs w:val="24"/>
    </w:rPr>
  </w:style>
  <w:style w:type="character" w:customStyle="1" w:styleId="20">
    <w:name w:val="見出し 2 (文字)"/>
    <w:basedOn w:val="a0"/>
    <w:link w:val="2"/>
    <w:rsid w:val="003F1883"/>
    <w:rPr>
      <w:rFonts w:ascii="Arial" w:eastAsia="ＭＳ ゴシック" w:hAnsi="Arial" w:cs="Times New Roman"/>
      <w:szCs w:val="20"/>
    </w:rPr>
  </w:style>
  <w:style w:type="paragraph" w:styleId="a3">
    <w:name w:val="header"/>
    <w:basedOn w:val="a"/>
    <w:link w:val="a4"/>
    <w:rsid w:val="003F1883"/>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3F1883"/>
    <w:rPr>
      <w:rFonts w:ascii="ＭＳ 明朝" w:eastAsia="ＭＳ 明朝" w:hAnsi="Century" w:cs="Times New Roman"/>
      <w:szCs w:val="20"/>
    </w:rPr>
  </w:style>
  <w:style w:type="paragraph" w:styleId="a5">
    <w:name w:val="footer"/>
    <w:basedOn w:val="a"/>
    <w:link w:val="a6"/>
    <w:rsid w:val="003F1883"/>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3F1883"/>
    <w:rPr>
      <w:rFonts w:ascii="ＭＳ 明朝" w:eastAsia="ＭＳ 明朝" w:hAnsi="Century" w:cs="Times New Roman"/>
      <w:szCs w:val="20"/>
    </w:rPr>
  </w:style>
  <w:style w:type="character" w:styleId="a7">
    <w:name w:val="page number"/>
    <w:basedOn w:val="a0"/>
    <w:rsid w:val="003F1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