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A5" w:rsidRDefault="00B46EA5" w:rsidP="00B46EA5">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161"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1594</w:t>
      </w:r>
      <w:r>
        <w:rPr>
          <w:rFonts w:hint="eastAsia"/>
          <w:u w:val="single"/>
        </w:rPr>
        <w:t xml:space="preserve">　</w:t>
      </w:r>
    </w:p>
    <w:p w:rsidR="00B46EA5" w:rsidRDefault="00B46EA5" w:rsidP="00B46EA5">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農政課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B46EA5" w:rsidTr="0016102E">
        <w:trPr>
          <w:trHeight w:val="855"/>
        </w:trPr>
        <w:tc>
          <w:tcPr>
            <w:tcW w:w="1386" w:type="dxa"/>
            <w:gridSpan w:val="2"/>
            <w:tcBorders>
              <w:bottom w:val="single" w:sz="4" w:space="0" w:color="auto"/>
            </w:tcBorders>
            <w:shd w:val="clear" w:color="auto" w:fill="E0E0E0"/>
            <w:vAlign w:val="center"/>
          </w:tcPr>
          <w:p w:rsidR="00B46EA5" w:rsidRDefault="00B46EA5" w:rsidP="00B46EA5">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B46EA5" w:rsidRDefault="00B46EA5" w:rsidP="00B46EA5">
            <w:pPr>
              <w:pStyle w:val="a3"/>
              <w:keepNext/>
              <w:tabs>
                <w:tab w:val="clear" w:pos="4252"/>
                <w:tab w:val="clear" w:pos="8504"/>
              </w:tabs>
              <w:autoSpaceDE w:val="0"/>
              <w:autoSpaceDN w:val="0"/>
              <w:snapToGrid/>
              <w:rPr>
                <w:rFonts w:hAnsi="ＭＳ 明朝"/>
                <w:noProof/>
              </w:rPr>
            </w:pPr>
            <w:r w:rsidRPr="00A27F20">
              <w:rPr>
                <w:rFonts w:hAnsi="ＭＳ 明朝" w:hint="eastAsia"/>
                <w:noProof/>
              </w:rPr>
              <w:t>伐採及び伐採後の造林の計画の変更命令等</w:t>
            </w:r>
          </w:p>
        </w:tc>
      </w:tr>
      <w:tr w:rsidR="00B46EA5" w:rsidTr="0016102E">
        <w:trPr>
          <w:trHeight w:val="855"/>
        </w:trPr>
        <w:tc>
          <w:tcPr>
            <w:tcW w:w="1386" w:type="dxa"/>
            <w:gridSpan w:val="2"/>
            <w:tcBorders>
              <w:bottom w:val="single" w:sz="4" w:space="0" w:color="auto"/>
            </w:tcBorders>
            <w:shd w:val="clear" w:color="auto" w:fill="E0E0E0"/>
            <w:vAlign w:val="center"/>
          </w:tcPr>
          <w:p w:rsidR="00B46EA5" w:rsidRDefault="00B46EA5"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B46EA5" w:rsidRDefault="00B46EA5"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B46EA5" w:rsidRDefault="00B46EA5" w:rsidP="0016102E">
            <w:pPr>
              <w:autoSpaceDE w:val="0"/>
              <w:autoSpaceDN w:val="0"/>
              <w:rPr>
                <w:rFonts w:hAnsi="ＭＳ 明朝"/>
              </w:rPr>
            </w:pPr>
            <w:r w:rsidRPr="00A27F20">
              <w:rPr>
                <w:rFonts w:hAnsi="ＭＳ 明朝" w:hint="eastAsia"/>
                <w:noProof/>
              </w:rPr>
              <w:t>森林法</w:t>
            </w:r>
            <w:r>
              <w:rPr>
                <w:rFonts w:hAnsi="ＭＳ 明朝" w:hint="eastAsia"/>
                <w:noProof/>
              </w:rPr>
              <w:t xml:space="preserve">　</w:t>
            </w:r>
            <w:r w:rsidRPr="00A27F20">
              <w:rPr>
                <w:rFonts w:hAnsi="ＭＳ 明朝" w:hint="eastAsia"/>
                <w:noProof/>
              </w:rPr>
              <w:t>第</w:t>
            </w:r>
            <w:r>
              <w:rPr>
                <w:rFonts w:hAnsi="ＭＳ 明朝" w:hint="eastAsia"/>
                <w:noProof/>
              </w:rPr>
              <w:t>10</w:t>
            </w:r>
            <w:r w:rsidRPr="00A27F20">
              <w:rPr>
                <w:rFonts w:hAnsi="ＭＳ 明朝" w:hint="eastAsia"/>
                <w:noProof/>
              </w:rPr>
              <w:t>条の</w:t>
            </w:r>
            <w:r>
              <w:rPr>
                <w:rFonts w:hAnsi="ＭＳ 明朝" w:hint="eastAsia"/>
                <w:noProof/>
              </w:rPr>
              <w:t>9</w:t>
            </w:r>
          </w:p>
        </w:tc>
      </w:tr>
      <w:tr w:rsidR="00B46EA5" w:rsidTr="0016102E">
        <w:trPr>
          <w:trHeight w:val="555"/>
        </w:trPr>
        <w:tc>
          <w:tcPr>
            <w:tcW w:w="1386" w:type="dxa"/>
            <w:gridSpan w:val="2"/>
            <w:shd w:val="clear" w:color="auto" w:fill="E0E0E0"/>
            <w:vAlign w:val="center"/>
          </w:tcPr>
          <w:p w:rsidR="00B46EA5" w:rsidRDefault="00B46EA5"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B46EA5" w:rsidRDefault="00B46EA5" w:rsidP="0016102E">
            <w:pPr>
              <w:autoSpaceDE w:val="0"/>
              <w:autoSpaceDN w:val="0"/>
              <w:rPr>
                <w:rFonts w:hAnsi="ＭＳ 明朝"/>
              </w:rPr>
            </w:pPr>
            <w:r w:rsidRPr="00A27F20">
              <w:rPr>
                <w:rFonts w:hAnsi="ＭＳ 明朝" w:hint="eastAsia"/>
                <w:noProof/>
              </w:rPr>
              <w:t>昭和</w:t>
            </w:r>
            <w:r>
              <w:rPr>
                <w:rFonts w:hAnsi="ＭＳ 明朝" w:hint="eastAsia"/>
                <w:noProof/>
              </w:rPr>
              <w:t>26</w:t>
            </w:r>
            <w:r w:rsidRPr="00A27F20">
              <w:rPr>
                <w:rFonts w:hAnsi="ＭＳ 明朝" w:hint="eastAsia"/>
                <w:noProof/>
              </w:rPr>
              <w:t>年法律第</w:t>
            </w:r>
            <w:r>
              <w:rPr>
                <w:rFonts w:hAnsi="ＭＳ 明朝" w:hint="eastAsia"/>
                <w:noProof/>
              </w:rPr>
              <w:t>249</w:t>
            </w:r>
            <w:r w:rsidRPr="00A27F20">
              <w:rPr>
                <w:rFonts w:hAnsi="ＭＳ 明朝" w:hint="eastAsia"/>
                <w:noProof/>
              </w:rPr>
              <w:t>号</w:t>
            </w:r>
          </w:p>
        </w:tc>
      </w:tr>
      <w:tr w:rsidR="00B46EA5" w:rsidTr="0016102E">
        <w:trPr>
          <w:trHeight w:val="8758"/>
        </w:trPr>
        <w:tc>
          <w:tcPr>
            <w:tcW w:w="9815" w:type="dxa"/>
            <w:gridSpan w:val="6"/>
            <w:tcBorders>
              <w:bottom w:val="nil"/>
            </w:tcBorders>
          </w:tcPr>
          <w:p w:rsidR="00B46EA5" w:rsidRDefault="00B46EA5"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B46EA5" w:rsidRPr="00A27F20" w:rsidRDefault="00B46EA5"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10</w:t>
            </w:r>
            <w:r w:rsidRPr="00A27F20">
              <w:rPr>
                <w:rFonts w:hAnsi="ＭＳ 明朝" w:hint="eastAsia"/>
                <w:noProof/>
              </w:rPr>
              <w:t>条の</w:t>
            </w:r>
            <w:r>
              <w:rPr>
                <w:rFonts w:hAnsi="ＭＳ 明朝" w:hint="eastAsia"/>
                <w:noProof/>
              </w:rPr>
              <w:t>9</w:t>
            </w:r>
            <w:r w:rsidRPr="00A27F20">
              <w:rPr>
                <w:rFonts w:hAnsi="ＭＳ 明朝" w:hint="eastAsia"/>
                <w:noProof/>
              </w:rPr>
              <w:t>の規定による。</w:t>
            </w:r>
          </w:p>
          <w:p w:rsidR="00B46EA5" w:rsidRPr="00A27F20" w:rsidRDefault="00B46EA5"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伐採及び伐採後の造林の計画の変更命令等</w:t>
            </w:r>
            <w:r>
              <w:rPr>
                <w:rFonts w:hAnsi="ＭＳ 明朝" w:hint="eastAsia"/>
                <w:noProof/>
              </w:rPr>
              <w:t>)</w:t>
            </w:r>
          </w:p>
          <w:p w:rsidR="00B46EA5" w:rsidRPr="00A27F20" w:rsidRDefault="00B46EA5"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10</w:t>
            </w:r>
            <w:r w:rsidRPr="00A27F20">
              <w:rPr>
                <w:rFonts w:hAnsi="ＭＳ 明朝" w:hint="eastAsia"/>
                <w:noProof/>
              </w:rPr>
              <w:t>条の</w:t>
            </w:r>
            <w:r>
              <w:rPr>
                <w:rFonts w:hAnsi="ＭＳ 明朝" w:hint="eastAsia"/>
                <w:noProof/>
              </w:rPr>
              <w:t>9</w:t>
            </w:r>
            <w:r w:rsidRPr="00A27F20">
              <w:rPr>
                <w:rFonts w:hAnsi="ＭＳ 明朝" w:hint="eastAsia"/>
                <w:noProof/>
              </w:rPr>
              <w:t xml:space="preserve">　市町村の長は、前条第</w:t>
            </w:r>
            <w:r>
              <w:rPr>
                <w:rFonts w:hAnsi="ＭＳ 明朝" w:hint="eastAsia"/>
                <w:noProof/>
              </w:rPr>
              <w:t>1</w:t>
            </w:r>
            <w:r w:rsidRPr="00A27F20">
              <w:rPr>
                <w:rFonts w:hAnsi="ＭＳ 明朝" w:hint="eastAsia"/>
                <w:noProof/>
              </w:rPr>
              <w:t>項の規定により提出された届出書に記載された伐採面積、伐採方法若しくは伐採齢又は伐採後の造林の方法、期間若しくは樹種に関する計画が市町村森林整備計画に適合しないと認めるときは、当該届出書を提出した者に対し、その伐採及び伐採後の造林の計画を変更すべき旨を命ずることができる。</w:t>
            </w:r>
          </w:p>
          <w:p w:rsidR="00B46EA5" w:rsidRPr="00A27F20" w:rsidRDefault="00B46EA5" w:rsidP="0016102E">
            <w:pPr>
              <w:autoSpaceDE w:val="0"/>
              <w:autoSpaceDN w:val="0"/>
              <w:ind w:left="220" w:hangingChars="100" w:hanging="220"/>
              <w:rPr>
                <w:rFonts w:hAnsi="ＭＳ 明朝"/>
                <w:noProof/>
              </w:rPr>
            </w:pPr>
            <w:r>
              <w:rPr>
                <w:rFonts w:hAnsi="ＭＳ 明朝" w:hint="eastAsia"/>
                <w:noProof/>
              </w:rPr>
              <w:t>2</w:t>
            </w:r>
            <w:r w:rsidRPr="00A27F20">
              <w:rPr>
                <w:rFonts w:hAnsi="ＭＳ 明朝" w:hint="eastAsia"/>
                <w:noProof/>
              </w:rPr>
              <w:t xml:space="preserve">　前項の命令があつたときは、その命令があつた後に行われる立木の伐採については、同項の届出書の提出はなかつたものとみなす。</w:t>
            </w:r>
          </w:p>
          <w:p w:rsidR="00B46EA5" w:rsidRPr="00A27F20" w:rsidRDefault="00B46EA5" w:rsidP="0016102E">
            <w:pPr>
              <w:autoSpaceDE w:val="0"/>
              <w:autoSpaceDN w:val="0"/>
              <w:ind w:left="220" w:hangingChars="100" w:hanging="220"/>
              <w:rPr>
                <w:rFonts w:hAnsi="ＭＳ 明朝"/>
                <w:noProof/>
              </w:rPr>
            </w:pPr>
            <w:r>
              <w:rPr>
                <w:rFonts w:hAnsi="ＭＳ 明朝" w:hint="eastAsia"/>
                <w:noProof/>
              </w:rPr>
              <w:t>3</w:t>
            </w:r>
            <w:r w:rsidRPr="00A27F20">
              <w:rPr>
                <w:rFonts w:hAnsi="ＭＳ 明朝" w:hint="eastAsia"/>
                <w:noProof/>
              </w:rPr>
              <w:t xml:space="preserve">　市町村の長は、前条第</w:t>
            </w:r>
            <w:r>
              <w:rPr>
                <w:rFonts w:hAnsi="ＭＳ 明朝" w:hint="eastAsia"/>
                <w:noProof/>
              </w:rPr>
              <w:t>1</w:t>
            </w:r>
            <w:r w:rsidRPr="00A27F20">
              <w:rPr>
                <w:rFonts w:hAnsi="ＭＳ 明朝" w:hint="eastAsia"/>
                <w:noProof/>
              </w:rPr>
              <w:t>項の規定により届出書を提出した者の行つている伐採又は伐採後の造林が当該届出書に記載された伐採面積、伐採方法若しくは伐採齢又は伐採後の造林の方法、期間若しくは樹種に関する計画に従つていないと認めるときは、その者に対し、その伐採及び伐採後の造林の計画に従つて伐採し、又は伐採後の造林をすべき旨を命ずることができる。</w:t>
            </w:r>
          </w:p>
          <w:p w:rsidR="00B46EA5" w:rsidRPr="00A27F20" w:rsidRDefault="00B46EA5" w:rsidP="0016102E">
            <w:pPr>
              <w:autoSpaceDE w:val="0"/>
              <w:autoSpaceDN w:val="0"/>
              <w:ind w:left="220" w:hangingChars="100" w:hanging="220"/>
              <w:rPr>
                <w:rFonts w:hAnsi="ＭＳ 明朝"/>
                <w:noProof/>
              </w:rPr>
            </w:pPr>
            <w:r>
              <w:rPr>
                <w:rFonts w:hAnsi="ＭＳ 明朝" w:hint="eastAsia"/>
                <w:noProof/>
              </w:rPr>
              <w:t>4</w:t>
            </w:r>
            <w:r w:rsidRPr="00A27F20">
              <w:rPr>
                <w:rFonts w:hAnsi="ＭＳ 明朝" w:hint="eastAsia"/>
                <w:noProof/>
              </w:rPr>
              <w:t xml:space="preserve">　市町村の長は、前条第</w:t>
            </w:r>
            <w:r>
              <w:rPr>
                <w:rFonts w:hAnsi="ＭＳ 明朝" w:hint="eastAsia"/>
                <w:noProof/>
              </w:rPr>
              <w:t>1</w:t>
            </w:r>
            <w:r w:rsidRPr="00A27F20">
              <w:rPr>
                <w:rFonts w:hAnsi="ＭＳ 明朝" w:hint="eastAsia"/>
                <w:noProof/>
              </w:rPr>
              <w:t>項の規定に違反して届出書の提出をしないで立木を伐採した者が引き続き伐採をしたならば次の各号のいずれかに該当すると認められる場合又はその者が伐採後の造林をしておらず、かつ、引き続き伐採後の造林をしないとしたならば次の各号のいずれかに該当すると認められる場合において、伐採の中止をすること又は伐採後の造林をすることが当該各号に規定する事態の発生を防止するために必要かつ適当であると認めるときは、その者に対し、伐採の中止を命じ、又は当該伐採跡地につき、期間、方法及び樹種を定めて伐採後の造林をすべき旨を命ずることができる。</w:t>
            </w:r>
          </w:p>
          <w:p w:rsidR="00B46EA5" w:rsidRPr="00A27F20" w:rsidRDefault="00B46EA5" w:rsidP="0016102E">
            <w:pPr>
              <w:autoSpaceDE w:val="0"/>
              <w:autoSpaceDN w:val="0"/>
              <w:ind w:left="220" w:hangingChars="100" w:hanging="220"/>
              <w:rPr>
                <w:rFonts w:hAnsi="ＭＳ 明朝"/>
                <w:noProof/>
              </w:rPr>
            </w:pPr>
            <w:r>
              <w:rPr>
                <w:rFonts w:hAnsi="ＭＳ 明朝" w:hint="eastAsia"/>
                <w:noProof/>
              </w:rPr>
              <w:t>(1)</w:t>
            </w:r>
            <w:r w:rsidRPr="00A27F20">
              <w:rPr>
                <w:rFonts w:hAnsi="ＭＳ 明朝" w:hint="eastAsia"/>
                <w:noProof/>
              </w:rPr>
              <w:t xml:space="preserve">　当該伐採跡地の周辺の地域における土砂の流出又は崩壊その他の災害を発生させるおそれがあること。</w:t>
            </w:r>
          </w:p>
          <w:p w:rsidR="00B46EA5" w:rsidRPr="00A27F20" w:rsidRDefault="00B46EA5" w:rsidP="0016102E">
            <w:pPr>
              <w:autoSpaceDE w:val="0"/>
              <w:autoSpaceDN w:val="0"/>
              <w:ind w:left="220" w:hangingChars="100" w:hanging="220"/>
              <w:rPr>
                <w:rFonts w:hAnsi="ＭＳ 明朝"/>
                <w:noProof/>
              </w:rPr>
            </w:pPr>
            <w:r>
              <w:rPr>
                <w:rFonts w:hAnsi="ＭＳ 明朝" w:hint="eastAsia"/>
                <w:noProof/>
              </w:rPr>
              <w:t>(2)</w:t>
            </w:r>
            <w:r w:rsidRPr="00A27F20">
              <w:rPr>
                <w:rFonts w:hAnsi="ＭＳ 明朝" w:hint="eastAsia"/>
                <w:noProof/>
              </w:rPr>
              <w:t xml:space="preserve">　伐採前の森林が有していた水害の防止の機能に依存する地域における水害を発生させるおそれがあること。</w:t>
            </w:r>
          </w:p>
          <w:p w:rsidR="00B46EA5" w:rsidRPr="00A27F20" w:rsidRDefault="00B46EA5" w:rsidP="0016102E">
            <w:pPr>
              <w:autoSpaceDE w:val="0"/>
              <w:autoSpaceDN w:val="0"/>
              <w:ind w:left="220" w:hangingChars="100" w:hanging="220"/>
              <w:rPr>
                <w:rFonts w:hAnsi="ＭＳ 明朝"/>
                <w:noProof/>
              </w:rPr>
            </w:pPr>
            <w:r>
              <w:rPr>
                <w:rFonts w:hAnsi="ＭＳ 明朝" w:hint="eastAsia"/>
                <w:noProof/>
              </w:rPr>
              <w:t>(3)</w:t>
            </w:r>
            <w:r w:rsidRPr="00A27F20">
              <w:rPr>
                <w:rFonts w:hAnsi="ＭＳ 明朝" w:hint="eastAsia"/>
                <w:noProof/>
              </w:rPr>
              <w:t xml:space="preserve">　伐採前の森林が有していた水源の涵養の機能に依存する地域における水の確保に著しい支障を及ぼすおそれがあること。</w:t>
            </w:r>
          </w:p>
          <w:p w:rsidR="00B46EA5" w:rsidRDefault="00B46EA5" w:rsidP="0016102E">
            <w:pPr>
              <w:autoSpaceDE w:val="0"/>
              <w:autoSpaceDN w:val="0"/>
              <w:ind w:left="220" w:hangingChars="100" w:hanging="220"/>
              <w:rPr>
                <w:rFonts w:hAnsi="ＭＳ 明朝"/>
              </w:rPr>
            </w:pPr>
            <w:r>
              <w:rPr>
                <w:rFonts w:hAnsi="ＭＳ 明朝" w:hint="eastAsia"/>
                <w:noProof/>
              </w:rPr>
              <w:t>(4)</w:t>
            </w:r>
            <w:r w:rsidRPr="00A27F20">
              <w:rPr>
                <w:rFonts w:hAnsi="ＭＳ 明朝" w:hint="eastAsia"/>
                <w:noProof/>
              </w:rPr>
              <w:t xml:space="preserve">　当該伐採跡地の周辺の地域における環境を著しく悪化させるおそれがあること。</w:t>
            </w:r>
          </w:p>
          <w:p w:rsidR="00B46EA5" w:rsidRPr="00E60A33" w:rsidRDefault="00B46EA5" w:rsidP="0016102E">
            <w:pPr>
              <w:autoSpaceDE w:val="0"/>
              <w:autoSpaceDN w:val="0"/>
              <w:ind w:left="220" w:hangingChars="100" w:hanging="220"/>
              <w:rPr>
                <w:rFonts w:hAnsi="ＭＳ 明朝"/>
              </w:rPr>
            </w:pPr>
          </w:p>
        </w:tc>
      </w:tr>
      <w:tr w:rsidR="00B46EA5" w:rsidTr="0016102E">
        <w:trPr>
          <w:trHeight w:val="85"/>
        </w:trPr>
        <w:tc>
          <w:tcPr>
            <w:tcW w:w="658" w:type="dxa"/>
            <w:vAlign w:val="center"/>
          </w:tcPr>
          <w:p w:rsidR="00B46EA5" w:rsidRDefault="00B46EA5"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B46EA5" w:rsidRDefault="00B46EA5" w:rsidP="0016102E">
            <w:pPr>
              <w:autoSpaceDE w:val="0"/>
              <w:autoSpaceDN w:val="0"/>
              <w:rPr>
                <w:rFonts w:hAnsi="ＭＳ 明朝"/>
              </w:rPr>
            </w:pPr>
          </w:p>
        </w:tc>
      </w:tr>
      <w:tr w:rsidR="00B46EA5" w:rsidTr="0016102E">
        <w:trPr>
          <w:trHeight w:val="1153"/>
        </w:trPr>
        <w:tc>
          <w:tcPr>
            <w:tcW w:w="9815" w:type="dxa"/>
            <w:gridSpan w:val="6"/>
            <w:tcBorders>
              <w:top w:val="nil"/>
              <w:bottom w:val="nil"/>
            </w:tcBorders>
          </w:tcPr>
          <w:p w:rsidR="00B46EA5" w:rsidRDefault="00B46EA5" w:rsidP="0016102E">
            <w:pPr>
              <w:autoSpaceDE w:val="0"/>
              <w:autoSpaceDN w:val="0"/>
              <w:rPr>
                <w:rFonts w:hAnsi="ＭＳ 明朝"/>
              </w:rPr>
            </w:pPr>
          </w:p>
        </w:tc>
      </w:tr>
      <w:tr w:rsidR="00B46EA5" w:rsidTr="0016102E">
        <w:trPr>
          <w:trHeight w:val="402"/>
        </w:trPr>
        <w:tc>
          <w:tcPr>
            <w:tcW w:w="1650" w:type="dxa"/>
            <w:gridSpan w:val="3"/>
            <w:shd w:val="clear" w:color="auto" w:fill="E0E0E0"/>
            <w:vAlign w:val="center"/>
          </w:tcPr>
          <w:p w:rsidR="00B46EA5" w:rsidRDefault="00B46EA5" w:rsidP="0016102E">
            <w:pPr>
              <w:autoSpaceDE w:val="0"/>
              <w:autoSpaceDN w:val="0"/>
              <w:rPr>
                <w:rFonts w:ascii="ＭＳ ゴシック" w:eastAsia="ＭＳ ゴシック" w:hAnsi="ＭＳ 明朝"/>
                <w:b/>
              </w:rPr>
            </w:pPr>
            <w:r w:rsidRPr="00B46EA5">
              <w:rPr>
                <w:rFonts w:ascii="ＭＳ ゴシック" w:eastAsia="ＭＳ ゴシック" w:hAnsi="ＭＳ 明朝" w:hint="eastAsia"/>
                <w:b/>
                <w:spacing w:val="30"/>
                <w:kern w:val="0"/>
                <w:fitText w:val="1430" w:id="1136908811"/>
              </w:rPr>
              <w:t>設定年月日</w:t>
            </w:r>
          </w:p>
        </w:tc>
        <w:tc>
          <w:tcPr>
            <w:tcW w:w="3200" w:type="dxa"/>
            <w:vAlign w:val="center"/>
          </w:tcPr>
          <w:p w:rsidR="00B46EA5" w:rsidRDefault="00B46EA5"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B46EA5" w:rsidRDefault="00B46EA5" w:rsidP="0016102E">
            <w:pPr>
              <w:autoSpaceDE w:val="0"/>
              <w:autoSpaceDN w:val="0"/>
              <w:rPr>
                <w:rFonts w:ascii="ＭＳ ゴシック" w:eastAsia="ＭＳ ゴシック" w:hAnsi="ＭＳ 明朝"/>
                <w:b/>
              </w:rPr>
            </w:pPr>
            <w:r w:rsidRPr="00B46EA5">
              <w:rPr>
                <w:rFonts w:ascii="ＭＳ ゴシック" w:eastAsia="ＭＳ ゴシック" w:hAnsi="ＭＳ 明朝" w:hint="eastAsia"/>
                <w:b/>
                <w:w w:val="90"/>
                <w:kern w:val="0"/>
                <w:fitText w:val="1430" w:id="1136908812"/>
              </w:rPr>
              <w:t>最終変更年月</w:t>
            </w:r>
            <w:r w:rsidRPr="00B46EA5">
              <w:rPr>
                <w:rFonts w:ascii="ＭＳ ゴシック" w:eastAsia="ＭＳ ゴシック" w:hAnsi="ＭＳ 明朝" w:hint="eastAsia"/>
                <w:b/>
                <w:spacing w:val="-75"/>
                <w:w w:val="90"/>
                <w:kern w:val="0"/>
                <w:fitText w:val="1430" w:id="1136908812"/>
              </w:rPr>
              <w:t>日</w:t>
            </w:r>
          </w:p>
        </w:tc>
        <w:tc>
          <w:tcPr>
            <w:tcW w:w="3325" w:type="dxa"/>
            <w:vAlign w:val="center"/>
          </w:tcPr>
          <w:p w:rsidR="00B46EA5" w:rsidRDefault="00B46EA5" w:rsidP="0016102E">
            <w:pPr>
              <w:jc w:val="center"/>
            </w:pPr>
            <w:r>
              <w:rPr>
                <w:rFonts w:hint="eastAsia"/>
                <w:noProof/>
              </w:rPr>
              <w:t xml:space="preserve">　年　　月　　日</w:t>
            </w:r>
          </w:p>
        </w:tc>
      </w:tr>
    </w:tbl>
    <w:p w:rsidR="00394A6B" w:rsidRDefault="00B46EA5" w:rsidP="00B46EA5"/>
    <w:sectPr w:rsidR="00394A6B" w:rsidSect="00B46EA5">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B46EA5">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B46EA5">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6EA5"/>
    <w:rsid w:val="001E56B6"/>
    <w:rsid w:val="00282CA6"/>
    <w:rsid w:val="00315EC1"/>
    <w:rsid w:val="003970D6"/>
    <w:rsid w:val="003C0625"/>
    <w:rsid w:val="004204E5"/>
    <w:rsid w:val="005C0D8F"/>
    <w:rsid w:val="006021FA"/>
    <w:rsid w:val="00655555"/>
    <w:rsid w:val="006668EF"/>
    <w:rsid w:val="00746BFD"/>
    <w:rsid w:val="00787102"/>
    <w:rsid w:val="00A56A6F"/>
    <w:rsid w:val="00B46EA5"/>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B46EA5"/>
    <w:pPr>
      <w:keepNext/>
      <w:outlineLvl w:val="0"/>
    </w:pPr>
    <w:rPr>
      <w:rFonts w:ascii="Arial" w:eastAsia="ＭＳ ゴシック" w:hAnsi="Arial" w:cs="Times New Roman"/>
      <w:sz w:val="24"/>
      <w:szCs w:val="24"/>
    </w:rPr>
  </w:style>
  <w:style w:type="paragraph" w:styleId="2">
    <w:name w:val="heading 2"/>
    <w:basedOn w:val="a"/>
    <w:next w:val="a"/>
    <w:link w:val="20"/>
    <w:qFormat/>
    <w:rsid w:val="00B46EA5"/>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46EA5"/>
    <w:rPr>
      <w:rFonts w:ascii="Arial" w:eastAsia="ＭＳ ゴシック" w:hAnsi="Arial" w:cs="Times New Roman"/>
      <w:sz w:val="24"/>
      <w:szCs w:val="24"/>
    </w:rPr>
  </w:style>
  <w:style w:type="character" w:customStyle="1" w:styleId="20">
    <w:name w:val="見出し 2 (文字)"/>
    <w:basedOn w:val="a0"/>
    <w:link w:val="2"/>
    <w:rsid w:val="00B46EA5"/>
    <w:rPr>
      <w:rFonts w:ascii="Arial" w:eastAsia="ＭＳ ゴシック" w:hAnsi="Arial" w:cs="Times New Roman"/>
      <w:szCs w:val="20"/>
    </w:rPr>
  </w:style>
  <w:style w:type="paragraph" w:styleId="a3">
    <w:name w:val="header"/>
    <w:basedOn w:val="a"/>
    <w:link w:val="a4"/>
    <w:rsid w:val="00B46EA5"/>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B46EA5"/>
    <w:rPr>
      <w:rFonts w:ascii="ＭＳ 明朝" w:eastAsia="ＭＳ 明朝" w:hAnsi="Century" w:cs="Times New Roman"/>
      <w:szCs w:val="20"/>
    </w:rPr>
  </w:style>
  <w:style w:type="paragraph" w:styleId="a5">
    <w:name w:val="footer"/>
    <w:basedOn w:val="a"/>
    <w:link w:val="a6"/>
    <w:rsid w:val="00B46EA5"/>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B46EA5"/>
    <w:rPr>
      <w:rFonts w:ascii="ＭＳ 明朝" w:eastAsia="ＭＳ 明朝" w:hAnsi="Century" w:cs="Times New Roman"/>
      <w:szCs w:val="20"/>
    </w:rPr>
  </w:style>
  <w:style w:type="character" w:styleId="a7">
    <w:name w:val="page number"/>
    <w:basedOn w:val="a0"/>
    <w:rsid w:val="00B46E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Company>Microsoft</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2016-03-24T06:26:00Z</dcterms:created>
  <dcterms:modified xsi:type="dcterms:W3CDTF">2016-03-24T06:26:00Z</dcterms:modified>
</cp:coreProperties>
</file>